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1759" w14:textId="77777777" w:rsidR="007C5CBA" w:rsidRDefault="00843E62" w:rsidP="00C34268">
      <w:pPr>
        <w:pStyle w:val="Heading1"/>
      </w:pPr>
      <w:r>
        <w:t>Warmley Pre</w:t>
      </w:r>
      <w:r w:rsidR="00C34268" w:rsidRPr="00C34268">
        <w:t>school – Safeguarding Children and Promoting Children’s Welfare</w:t>
      </w:r>
    </w:p>
    <w:p w14:paraId="73ED175A" w14:textId="77777777" w:rsidR="00EA2D2B" w:rsidRPr="00EA2D2B" w:rsidRDefault="00A978A9" w:rsidP="00EA2D2B">
      <w:pPr>
        <w:pStyle w:val="Heading2"/>
      </w:pPr>
      <w:r>
        <w:t>Disqualification Policy</w:t>
      </w:r>
    </w:p>
    <w:p w14:paraId="73ED175B" w14:textId="77777777" w:rsidR="00A978A9" w:rsidRDefault="00A978A9" w:rsidP="00A978A9">
      <w:pPr>
        <w:pStyle w:val="Heading3"/>
      </w:pPr>
      <w:r>
        <w:t>Definition</w:t>
      </w:r>
    </w:p>
    <w:p w14:paraId="73ED175C"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73ED175D" w14:textId="77777777" w:rsidR="00A978A9" w:rsidRPr="006037A0" w:rsidRDefault="00A978A9" w:rsidP="00A978A9">
      <w:pPr>
        <w:pStyle w:val="Heading3"/>
      </w:pPr>
      <w:r w:rsidRPr="006037A0">
        <w:t>Policy statement</w:t>
      </w:r>
    </w:p>
    <w:p w14:paraId="73ED175E"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A registered provider or a childcare worker may be disqualified from registration, in accordance with regulations made under section 75 of the Childcare Act 2006.</w:t>
      </w:r>
    </w:p>
    <w:p w14:paraId="73ED175F"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 xml:space="preserve">In the event of the disqualification of a registered provider, the provider must not continue as an early years provider – nor be directly concerned in the management of such provision.  Where a person is </w:t>
      </w:r>
      <w:proofErr w:type="gramStart"/>
      <w:r>
        <w:rPr>
          <w:rFonts w:ascii="Arial" w:hAnsi="Arial" w:cs="Arial"/>
          <w:sz w:val="20"/>
          <w:szCs w:val="20"/>
        </w:rPr>
        <w:t>disqualified</w:t>
      </w:r>
      <w:proofErr w:type="gramEnd"/>
      <w:r>
        <w:rPr>
          <w:rFonts w:ascii="Arial" w:hAnsi="Arial" w:cs="Arial"/>
          <w:sz w:val="20"/>
          <w:szCs w:val="20"/>
        </w:rPr>
        <w:t xml:space="preserve"> the provider must not employ that person in connection with early years provision.  Where an employer becomes aware of relevant information that may lead to disqualification of an employee, the provider must take appropriate action to ensure the safety of children.</w:t>
      </w:r>
    </w:p>
    <w:p w14:paraId="73ED1760" w14:textId="77777777" w:rsidR="00EA2D2B" w:rsidRPr="006037A0" w:rsidRDefault="00EA2D2B" w:rsidP="009F307F">
      <w:pPr>
        <w:pStyle w:val="Heading3"/>
      </w:pPr>
      <w:r w:rsidRPr="006037A0">
        <w:t>Procedures</w:t>
      </w:r>
    </w:p>
    <w:p w14:paraId="73ED1761"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A registered provider or a childcare worker may also be disqualified because they live in the same household as another person who is disqualified, or because they live in the same household where a disqualified person is employed.</w:t>
      </w:r>
    </w:p>
    <w:p w14:paraId="73ED1762" w14:textId="77777777" w:rsidR="00A978A9" w:rsidRDefault="00A978A9" w:rsidP="00A978A9">
      <w:pPr>
        <w:pStyle w:val="ListParagraph"/>
        <w:spacing w:line="360" w:lineRule="auto"/>
        <w:ind w:left="0"/>
        <w:jc w:val="both"/>
        <w:rPr>
          <w:rFonts w:ascii="Arial" w:hAnsi="Arial" w:cs="Arial"/>
          <w:sz w:val="20"/>
          <w:szCs w:val="20"/>
        </w:rPr>
      </w:pPr>
    </w:p>
    <w:p w14:paraId="73ED1763"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A provider must notify Ofsted of any significant event which is likely to affect the suitability of any person who is in regular contact with children on the premises where childcare is provided.  The disqualification of an employee could be an instance of a significant event.  If a registered person is disqualified they may, in some circumstances, be able to obtain a ‘waiver’ from Ofsted.</w:t>
      </w:r>
    </w:p>
    <w:p w14:paraId="73ED1764" w14:textId="77777777" w:rsidR="00A978A9" w:rsidRDefault="00A978A9" w:rsidP="00A978A9">
      <w:pPr>
        <w:pStyle w:val="ListParagraph"/>
        <w:spacing w:line="360" w:lineRule="auto"/>
        <w:ind w:left="0"/>
        <w:jc w:val="both"/>
        <w:rPr>
          <w:rFonts w:ascii="Arial" w:hAnsi="Arial" w:cs="Arial"/>
          <w:sz w:val="20"/>
          <w:szCs w:val="20"/>
        </w:rPr>
      </w:pPr>
    </w:p>
    <w:p w14:paraId="73ED1765"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The provider must give Ofsted the following information about themselves or about any person who lives in the same household as the registered provider, or who is employed in the household:</w:t>
      </w:r>
    </w:p>
    <w:p w14:paraId="73ED1766"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Details of any order, determination, conviction, or other ground for disqualification from registration under regulations made under section 75 of the Childcare Act 2006;</w:t>
      </w:r>
    </w:p>
    <w:p w14:paraId="73ED1767"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The date of the order, determination or conviction, or the date when the other ground for disqualification arose;</w:t>
      </w:r>
    </w:p>
    <w:p w14:paraId="73ED1768"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lastRenderedPageBreak/>
        <w:t>The body or court which made the order, determination or conviction, and the sentence (if any) imposed; and</w:t>
      </w:r>
    </w:p>
    <w:p w14:paraId="73ED1769"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A certified copy of the relevant order (in relation to an order or conviction).</w:t>
      </w:r>
    </w:p>
    <w:p w14:paraId="73ED176A" w14:textId="77777777" w:rsidR="00A978A9" w:rsidRDefault="00A978A9" w:rsidP="00A978A9">
      <w:pPr>
        <w:pStyle w:val="ListParagraph"/>
        <w:spacing w:line="360" w:lineRule="auto"/>
        <w:jc w:val="both"/>
        <w:rPr>
          <w:rFonts w:ascii="Arial" w:hAnsi="Arial" w:cs="Arial"/>
          <w:sz w:val="20"/>
          <w:szCs w:val="20"/>
        </w:rPr>
      </w:pPr>
    </w:p>
    <w:p w14:paraId="73ED176B" w14:textId="77777777" w:rsidR="00A978A9" w:rsidRDefault="00A978A9" w:rsidP="00A978A9">
      <w:pPr>
        <w:pStyle w:val="ListParagraph"/>
        <w:spacing w:line="360" w:lineRule="auto"/>
        <w:ind w:left="0"/>
        <w:jc w:val="both"/>
        <w:rPr>
          <w:rFonts w:ascii="Arial" w:hAnsi="Arial" w:cs="Arial"/>
          <w:sz w:val="20"/>
          <w:szCs w:val="20"/>
        </w:rPr>
      </w:pPr>
      <w:r>
        <w:rPr>
          <w:rFonts w:ascii="Arial" w:hAnsi="Arial" w:cs="Arial"/>
          <w:sz w:val="20"/>
          <w:szCs w:val="20"/>
        </w:rPr>
        <w:t>The information must be provided to Ofsted as soon as reasonably practicable, but at the latest within 14 days of the date the provider became aware of the information, or ought reasonably to have become aware of it they had made reasonable enquiries.</w:t>
      </w:r>
    </w:p>
    <w:p w14:paraId="73ED176C" w14:textId="77777777" w:rsidR="00A978A9" w:rsidRDefault="00A978A9" w:rsidP="00A978A9">
      <w:pPr>
        <w:pStyle w:val="ListParagraph"/>
        <w:spacing w:line="360" w:lineRule="auto"/>
        <w:ind w:left="0"/>
        <w:jc w:val="both"/>
        <w:rPr>
          <w:rFonts w:ascii="Arial" w:hAnsi="Arial" w:cs="Arial"/>
          <w:sz w:val="20"/>
          <w:szCs w:val="20"/>
        </w:rPr>
      </w:pPr>
    </w:p>
    <w:p w14:paraId="73ED176D"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The childcare disqualification regulations 2009</w:t>
      </w:r>
    </w:p>
    <w:p w14:paraId="73ED176E"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The early years foundation stage (welfare requirements) regulations 2012</w:t>
      </w:r>
    </w:p>
    <w:p w14:paraId="73ED176F" w14:textId="77777777" w:rsidR="00A978A9" w:rsidRDefault="00A978A9" w:rsidP="00A978A9">
      <w:pPr>
        <w:pStyle w:val="ListParagraph"/>
        <w:numPr>
          <w:ilvl w:val="0"/>
          <w:numId w:val="25"/>
        </w:numPr>
        <w:suppressAutoHyphens/>
        <w:spacing w:after="0" w:line="360" w:lineRule="auto"/>
        <w:contextualSpacing w:val="0"/>
        <w:jc w:val="both"/>
        <w:rPr>
          <w:rFonts w:ascii="Arial" w:hAnsi="Arial" w:cs="Arial"/>
          <w:sz w:val="20"/>
          <w:szCs w:val="20"/>
        </w:rPr>
      </w:pPr>
      <w:r>
        <w:rPr>
          <w:rFonts w:ascii="Arial" w:hAnsi="Arial" w:cs="Arial"/>
          <w:sz w:val="20"/>
          <w:szCs w:val="20"/>
        </w:rPr>
        <w:t>Statutory framework for the early years foundation stage 2013</w:t>
      </w:r>
    </w:p>
    <w:p w14:paraId="73ED1770" w14:textId="77777777" w:rsidR="00843E62" w:rsidRPr="007931F6" w:rsidRDefault="00843E62" w:rsidP="00843E62">
      <w:pPr>
        <w:pStyle w:val="Heading2"/>
      </w:pPr>
      <w:r w:rsidRPr="007931F6">
        <w:t>Adoption of Policy</w:t>
      </w:r>
    </w:p>
    <w:p w14:paraId="73ED1771" w14:textId="77777777" w:rsidR="00843E62" w:rsidRPr="00CC2744" w:rsidRDefault="00843E62" w:rsidP="00843E62">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843E62" w:rsidRPr="00F85A79" w14:paraId="73ED1774" w14:textId="77777777" w:rsidTr="001C0025">
        <w:tc>
          <w:tcPr>
            <w:tcW w:w="2660" w:type="dxa"/>
          </w:tcPr>
          <w:p w14:paraId="73ED1772" w14:textId="77777777" w:rsidR="00843E62" w:rsidRPr="00F85A79" w:rsidRDefault="00843E62" w:rsidP="001C0025">
            <w:pPr>
              <w:spacing w:before="120" w:after="360"/>
              <w:rPr>
                <w:b/>
              </w:rPr>
            </w:pPr>
            <w:r>
              <w:rPr>
                <w:b/>
              </w:rPr>
              <w:t>Meeting of</w:t>
            </w:r>
          </w:p>
        </w:tc>
        <w:tc>
          <w:tcPr>
            <w:tcW w:w="6237" w:type="dxa"/>
            <w:tcBorders>
              <w:bottom w:val="single" w:sz="4" w:space="0" w:color="auto"/>
            </w:tcBorders>
          </w:tcPr>
          <w:p w14:paraId="73ED1773" w14:textId="77777777" w:rsidR="00843E62" w:rsidRPr="00F85A79" w:rsidRDefault="00843E62" w:rsidP="001C0025">
            <w:pPr>
              <w:spacing w:before="120" w:after="120"/>
              <w:rPr>
                <w:b/>
              </w:rPr>
            </w:pPr>
          </w:p>
        </w:tc>
      </w:tr>
      <w:tr w:rsidR="00843E62" w:rsidRPr="00F85A79" w14:paraId="73ED1777" w14:textId="77777777" w:rsidTr="001C0025">
        <w:tc>
          <w:tcPr>
            <w:tcW w:w="2660" w:type="dxa"/>
          </w:tcPr>
          <w:p w14:paraId="73ED1775" w14:textId="77777777" w:rsidR="00843E62" w:rsidRPr="00F85A79" w:rsidRDefault="00843E62" w:rsidP="001C0025">
            <w:pPr>
              <w:spacing w:before="120" w:after="360"/>
              <w:rPr>
                <w:b/>
              </w:rPr>
            </w:pPr>
            <w:r>
              <w:rPr>
                <w:b/>
              </w:rPr>
              <w:t>Date held</w:t>
            </w:r>
          </w:p>
        </w:tc>
        <w:tc>
          <w:tcPr>
            <w:tcW w:w="6237" w:type="dxa"/>
            <w:tcBorders>
              <w:top w:val="single" w:sz="4" w:space="0" w:color="auto"/>
              <w:bottom w:val="single" w:sz="4" w:space="0" w:color="auto"/>
            </w:tcBorders>
          </w:tcPr>
          <w:p w14:paraId="73ED1776" w14:textId="77777777" w:rsidR="00843E62" w:rsidRPr="00F85A79" w:rsidRDefault="00843E62" w:rsidP="001C0025">
            <w:pPr>
              <w:spacing w:before="120" w:after="120"/>
              <w:rPr>
                <w:b/>
              </w:rPr>
            </w:pPr>
          </w:p>
        </w:tc>
      </w:tr>
      <w:tr w:rsidR="00843E62" w:rsidRPr="00F85A79" w14:paraId="73ED177A" w14:textId="77777777" w:rsidTr="001C0025">
        <w:tc>
          <w:tcPr>
            <w:tcW w:w="2660" w:type="dxa"/>
          </w:tcPr>
          <w:p w14:paraId="73ED1778" w14:textId="77777777" w:rsidR="00843E62" w:rsidRDefault="00843E62" w:rsidP="001C0025">
            <w:pPr>
              <w:spacing w:before="120" w:after="360"/>
              <w:rPr>
                <w:b/>
              </w:rPr>
            </w:pPr>
            <w:r>
              <w:rPr>
                <w:b/>
              </w:rPr>
              <w:t>Date for review</w:t>
            </w:r>
          </w:p>
        </w:tc>
        <w:tc>
          <w:tcPr>
            <w:tcW w:w="6237" w:type="dxa"/>
            <w:tcBorders>
              <w:top w:val="single" w:sz="4" w:space="0" w:color="auto"/>
              <w:bottom w:val="single" w:sz="4" w:space="0" w:color="auto"/>
            </w:tcBorders>
          </w:tcPr>
          <w:p w14:paraId="73ED1779" w14:textId="77777777" w:rsidR="00843E62" w:rsidRPr="00F85A79" w:rsidRDefault="00843E62" w:rsidP="001C0025">
            <w:pPr>
              <w:spacing w:before="120" w:after="120"/>
              <w:rPr>
                <w:b/>
              </w:rPr>
            </w:pPr>
          </w:p>
        </w:tc>
      </w:tr>
    </w:tbl>
    <w:p w14:paraId="73ED177B" w14:textId="77777777" w:rsidR="00843E62" w:rsidRDefault="00843E62" w:rsidP="00843E62">
      <w:pPr>
        <w:rPr>
          <w:rFonts w:cs="Tahoma"/>
          <w:color w:val="1F497D" w:themeColor="text2"/>
        </w:rPr>
      </w:pPr>
    </w:p>
    <w:p w14:paraId="73ED177C" w14:textId="77777777" w:rsidR="00843E62" w:rsidRPr="00CC2744" w:rsidRDefault="00843E62" w:rsidP="00843E62">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843E62" w:rsidRPr="00F85A79" w14:paraId="73ED177F" w14:textId="77777777" w:rsidTr="001C0025">
        <w:tc>
          <w:tcPr>
            <w:tcW w:w="2660" w:type="dxa"/>
          </w:tcPr>
          <w:p w14:paraId="73ED177D" w14:textId="77777777" w:rsidR="00843E62" w:rsidRPr="00F85A79" w:rsidRDefault="00843E62" w:rsidP="001C0025">
            <w:pPr>
              <w:spacing w:before="120" w:after="360"/>
              <w:rPr>
                <w:b/>
              </w:rPr>
            </w:pPr>
            <w:r>
              <w:rPr>
                <w:b/>
              </w:rPr>
              <w:t>Name of Signatory</w:t>
            </w:r>
          </w:p>
        </w:tc>
        <w:tc>
          <w:tcPr>
            <w:tcW w:w="6662" w:type="dxa"/>
            <w:gridSpan w:val="3"/>
            <w:tcBorders>
              <w:bottom w:val="single" w:sz="4" w:space="0" w:color="auto"/>
            </w:tcBorders>
          </w:tcPr>
          <w:p w14:paraId="73ED177E" w14:textId="77777777" w:rsidR="00843E62" w:rsidRPr="00F85A79" w:rsidRDefault="00843E62" w:rsidP="001C0025">
            <w:pPr>
              <w:spacing w:before="120" w:after="120"/>
              <w:rPr>
                <w:b/>
              </w:rPr>
            </w:pPr>
          </w:p>
        </w:tc>
      </w:tr>
      <w:tr w:rsidR="00843E62" w:rsidRPr="00F85A79" w14:paraId="73ED1782" w14:textId="77777777" w:rsidTr="001C0025">
        <w:tc>
          <w:tcPr>
            <w:tcW w:w="2660" w:type="dxa"/>
          </w:tcPr>
          <w:p w14:paraId="73ED1780" w14:textId="77777777" w:rsidR="00843E62" w:rsidRPr="00F85A79" w:rsidRDefault="00843E62" w:rsidP="001C0025">
            <w:pPr>
              <w:spacing w:before="120" w:after="360"/>
              <w:rPr>
                <w:b/>
              </w:rPr>
            </w:pPr>
            <w:r>
              <w:rPr>
                <w:b/>
              </w:rPr>
              <w:t>Signature</w:t>
            </w:r>
          </w:p>
        </w:tc>
        <w:tc>
          <w:tcPr>
            <w:tcW w:w="6662" w:type="dxa"/>
            <w:gridSpan w:val="3"/>
            <w:tcBorders>
              <w:bottom w:val="single" w:sz="4" w:space="0" w:color="auto"/>
            </w:tcBorders>
          </w:tcPr>
          <w:p w14:paraId="73ED1781" w14:textId="77777777" w:rsidR="00843E62" w:rsidRPr="00F85A79" w:rsidRDefault="00843E62" w:rsidP="001C0025">
            <w:pPr>
              <w:spacing w:before="120" w:after="120"/>
              <w:rPr>
                <w:b/>
              </w:rPr>
            </w:pPr>
          </w:p>
        </w:tc>
      </w:tr>
      <w:tr w:rsidR="00843E62" w:rsidRPr="00F85A79" w14:paraId="73ED1787" w14:textId="77777777" w:rsidTr="001C0025">
        <w:tc>
          <w:tcPr>
            <w:tcW w:w="2660" w:type="dxa"/>
          </w:tcPr>
          <w:p w14:paraId="73ED1783" w14:textId="77777777" w:rsidR="00843E62" w:rsidRPr="00F85A79" w:rsidRDefault="00843E62" w:rsidP="001C0025">
            <w:pPr>
              <w:spacing w:before="120" w:after="360"/>
              <w:rPr>
                <w:b/>
              </w:rPr>
            </w:pPr>
            <w:r>
              <w:rPr>
                <w:b/>
              </w:rPr>
              <w:t>Role of Signatory</w:t>
            </w:r>
          </w:p>
        </w:tc>
        <w:tc>
          <w:tcPr>
            <w:tcW w:w="2835" w:type="dxa"/>
            <w:tcBorders>
              <w:top w:val="single" w:sz="4" w:space="0" w:color="auto"/>
              <w:bottom w:val="single" w:sz="4" w:space="0" w:color="auto"/>
            </w:tcBorders>
          </w:tcPr>
          <w:p w14:paraId="73ED1784" w14:textId="77777777" w:rsidR="00843E62" w:rsidRPr="00F85A79" w:rsidRDefault="00843E62" w:rsidP="001C0025">
            <w:pPr>
              <w:spacing w:before="120" w:after="120"/>
              <w:rPr>
                <w:b/>
              </w:rPr>
            </w:pPr>
          </w:p>
        </w:tc>
        <w:tc>
          <w:tcPr>
            <w:tcW w:w="760" w:type="dxa"/>
          </w:tcPr>
          <w:p w14:paraId="73ED1785" w14:textId="77777777" w:rsidR="00843E62" w:rsidRPr="00F85A79" w:rsidRDefault="00843E62" w:rsidP="001C0025">
            <w:pPr>
              <w:spacing w:before="120" w:after="120"/>
              <w:rPr>
                <w:b/>
              </w:rPr>
            </w:pPr>
            <w:r w:rsidRPr="00F85A79">
              <w:rPr>
                <w:b/>
              </w:rPr>
              <w:t>Date</w:t>
            </w:r>
          </w:p>
        </w:tc>
        <w:tc>
          <w:tcPr>
            <w:tcW w:w="3067" w:type="dxa"/>
            <w:tcBorders>
              <w:top w:val="single" w:sz="4" w:space="0" w:color="auto"/>
              <w:bottom w:val="single" w:sz="4" w:space="0" w:color="auto"/>
            </w:tcBorders>
          </w:tcPr>
          <w:p w14:paraId="73ED1786" w14:textId="77777777" w:rsidR="00843E62" w:rsidRPr="00F85A79" w:rsidRDefault="00843E62" w:rsidP="001C0025">
            <w:pPr>
              <w:spacing w:before="120" w:after="120"/>
              <w:rPr>
                <w:b/>
              </w:rPr>
            </w:pPr>
          </w:p>
        </w:tc>
      </w:tr>
    </w:tbl>
    <w:p w14:paraId="73ED1788" w14:textId="77777777" w:rsidR="00FB73D6" w:rsidRPr="00B6329A" w:rsidRDefault="00FB73D6" w:rsidP="00843E62">
      <w:pPr>
        <w:pStyle w:val="Heading2"/>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9B1B" w14:textId="77777777" w:rsidR="005F68F4" w:rsidRDefault="005F68F4" w:rsidP="00F853E7">
      <w:pPr>
        <w:spacing w:after="0" w:line="240" w:lineRule="auto"/>
      </w:pPr>
      <w:r>
        <w:separator/>
      </w:r>
    </w:p>
  </w:endnote>
  <w:endnote w:type="continuationSeparator" w:id="0">
    <w:p w14:paraId="36DDE9D6" w14:textId="77777777" w:rsidR="005F68F4" w:rsidRDefault="005F68F4"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8F" w14:textId="77777777" w:rsidR="00637004" w:rsidRDefault="0063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90" w14:textId="77777777" w:rsidR="00637004" w:rsidRDefault="0063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A1" w14:textId="77777777" w:rsidR="00A95C2F" w:rsidRDefault="00A95C2F" w:rsidP="00F853E7">
    <w:pPr>
      <w:pStyle w:val="Footer"/>
      <w:jc w:val="center"/>
      <w:rPr>
        <w:szCs w:val="20"/>
      </w:rPr>
    </w:pPr>
  </w:p>
  <w:p w14:paraId="73ED17A2" w14:textId="77777777" w:rsidR="008667A4" w:rsidRPr="008872FD" w:rsidRDefault="008667A4" w:rsidP="00F853E7">
    <w:pPr>
      <w:pStyle w:val="Footer"/>
      <w:jc w:val="center"/>
      <w:rPr>
        <w:szCs w:val="20"/>
      </w:rPr>
    </w:pPr>
    <w:r w:rsidRPr="008872FD">
      <w:rPr>
        <w:szCs w:val="20"/>
      </w:rPr>
      <w:t>Find us at</w:t>
    </w:r>
  </w:p>
  <w:p w14:paraId="73ED17A3" w14:textId="77777777" w:rsidR="008667A4" w:rsidRDefault="005F68F4"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73ED17A4"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21A8" w14:textId="77777777" w:rsidR="005F68F4" w:rsidRDefault="005F68F4" w:rsidP="00F853E7">
      <w:pPr>
        <w:spacing w:after="0" w:line="240" w:lineRule="auto"/>
      </w:pPr>
      <w:r>
        <w:separator/>
      </w:r>
    </w:p>
  </w:footnote>
  <w:footnote w:type="continuationSeparator" w:id="0">
    <w:p w14:paraId="34442E45" w14:textId="77777777" w:rsidR="005F68F4" w:rsidRDefault="005F68F4"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8D" w14:textId="77777777" w:rsidR="00637004" w:rsidRDefault="0063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78E" w14:textId="77777777" w:rsidR="00637004" w:rsidRDefault="00637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73ED1793" w14:textId="77777777" w:rsidTr="0087629C">
      <w:tc>
        <w:tcPr>
          <w:tcW w:w="2660" w:type="dxa"/>
          <w:vMerge w:val="restart"/>
        </w:tcPr>
        <w:p w14:paraId="73ED1791" w14:textId="5E857414" w:rsidR="008667A4" w:rsidRPr="00676815" w:rsidRDefault="00AD4FD9" w:rsidP="0087629C">
          <w:pPr>
            <w:jc w:val="right"/>
            <w:rPr>
              <w:b/>
              <w:color w:val="FF6699"/>
              <w:sz w:val="28"/>
            </w:rPr>
          </w:pPr>
          <w:r>
            <w:rPr>
              <w:b/>
              <w:noProof/>
              <w:color w:val="FF6699"/>
              <w:sz w:val="28"/>
            </w:rPr>
            <w:drawing>
              <wp:inline distT="0" distB="0" distL="0" distR="0" wp14:anchorId="40C2F9F5" wp14:editId="46751C9C">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3ED1792"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73ED1796" w14:textId="77777777" w:rsidTr="0087629C">
      <w:tc>
        <w:tcPr>
          <w:tcW w:w="2660" w:type="dxa"/>
          <w:vMerge/>
        </w:tcPr>
        <w:p w14:paraId="73ED1794" w14:textId="77777777" w:rsidR="008667A4" w:rsidRPr="00676815" w:rsidRDefault="008667A4" w:rsidP="0087629C">
          <w:pPr>
            <w:jc w:val="right"/>
            <w:rPr>
              <w:rFonts w:cs="Arial"/>
              <w:sz w:val="18"/>
              <w:szCs w:val="20"/>
            </w:rPr>
          </w:pPr>
        </w:p>
      </w:tc>
      <w:tc>
        <w:tcPr>
          <w:tcW w:w="5436" w:type="dxa"/>
        </w:tcPr>
        <w:p w14:paraId="73ED1795"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73ED179A" w14:textId="77777777" w:rsidTr="0087629C">
      <w:tc>
        <w:tcPr>
          <w:tcW w:w="2660" w:type="dxa"/>
          <w:vMerge/>
        </w:tcPr>
        <w:p w14:paraId="73ED1797" w14:textId="77777777" w:rsidR="008667A4" w:rsidRPr="00676815" w:rsidRDefault="008667A4" w:rsidP="0087629C">
          <w:pPr>
            <w:jc w:val="right"/>
            <w:rPr>
              <w:rFonts w:cs="Arial"/>
              <w:sz w:val="18"/>
              <w:szCs w:val="20"/>
            </w:rPr>
          </w:pPr>
        </w:p>
      </w:tc>
      <w:tc>
        <w:tcPr>
          <w:tcW w:w="5436" w:type="dxa"/>
        </w:tcPr>
        <w:p w14:paraId="73ED1798" w14:textId="77777777" w:rsidR="008667A4" w:rsidRPr="0088158E" w:rsidRDefault="008667A4" w:rsidP="0087629C">
          <w:pPr>
            <w:jc w:val="center"/>
            <w:rPr>
              <w:rFonts w:cs="Arial"/>
              <w:sz w:val="24"/>
              <w:szCs w:val="20"/>
            </w:rPr>
          </w:pPr>
          <w:r w:rsidRPr="0088158E">
            <w:rPr>
              <w:rFonts w:cs="Arial"/>
              <w:sz w:val="24"/>
              <w:szCs w:val="20"/>
            </w:rPr>
            <w:t>Tel: 07951 309201</w:t>
          </w:r>
        </w:p>
        <w:p w14:paraId="73ED179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73ED179D" w14:textId="77777777" w:rsidTr="0087629C">
      <w:tc>
        <w:tcPr>
          <w:tcW w:w="2660" w:type="dxa"/>
          <w:vMerge/>
        </w:tcPr>
        <w:p w14:paraId="73ED179B" w14:textId="77777777" w:rsidR="008667A4" w:rsidRPr="00676815" w:rsidRDefault="008667A4" w:rsidP="0087629C">
          <w:pPr>
            <w:jc w:val="right"/>
            <w:rPr>
              <w:rFonts w:cs="Arial"/>
              <w:sz w:val="18"/>
              <w:szCs w:val="20"/>
            </w:rPr>
          </w:pPr>
        </w:p>
      </w:tc>
      <w:tc>
        <w:tcPr>
          <w:tcW w:w="5436" w:type="dxa"/>
        </w:tcPr>
        <w:p w14:paraId="73ED179C"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637004">
            <w:rPr>
              <w:rFonts w:cs="Arial"/>
              <w:sz w:val="24"/>
              <w:szCs w:val="20"/>
            </w:rPr>
            <w:t>1017300</w:t>
          </w:r>
        </w:p>
      </w:tc>
    </w:tr>
    <w:tr w:rsidR="008667A4" w14:paraId="73ED179F" w14:textId="77777777" w:rsidTr="00CD3F01">
      <w:trPr>
        <w:gridAfter w:val="1"/>
        <w:wAfter w:w="5436" w:type="dxa"/>
        <w:trHeight w:val="220"/>
      </w:trPr>
      <w:tc>
        <w:tcPr>
          <w:tcW w:w="2660" w:type="dxa"/>
          <w:vMerge/>
        </w:tcPr>
        <w:p w14:paraId="73ED179E" w14:textId="77777777" w:rsidR="008667A4" w:rsidRPr="00676815" w:rsidRDefault="008667A4" w:rsidP="0087629C">
          <w:pPr>
            <w:jc w:val="right"/>
            <w:rPr>
              <w:rFonts w:cs="Arial"/>
              <w:sz w:val="18"/>
              <w:szCs w:val="20"/>
            </w:rPr>
          </w:pPr>
        </w:p>
      </w:tc>
    </w:tr>
  </w:tbl>
  <w:p w14:paraId="73ED17A0"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4F81BD"/>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4F81BD"/>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4F81BD"/>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4F81BD"/>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olor w:val="4F81BD"/>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olor w:val="4F81BD"/>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786" w:hanging="360"/>
      </w:pPr>
      <w:rPr>
        <w:rFonts w:ascii="Arial-BoldMT" w:hAnsi="Arial-BoldMT"/>
        <w:color w:val="4F81BD"/>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color w:val="4F81BD"/>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Wingdings" w:hAnsi="Wingdings"/>
        <w:color w:val="4F81BD"/>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Wingdings" w:hAnsi="Wingdings"/>
        <w:color w:val="4F81BD"/>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Wingdings" w:hAnsi="Wingdings"/>
        <w:sz w:val="20"/>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olor w:val="4F81BD"/>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color w:val="4F81BD"/>
      </w:rPr>
    </w:lvl>
  </w:abstractNum>
  <w:abstractNum w:abstractNumId="17" w15:restartNumberingAfterBreak="0">
    <w:nsid w:val="08F422BA"/>
    <w:multiLevelType w:val="hybridMultilevel"/>
    <w:tmpl w:val="C6DA2D18"/>
    <w:lvl w:ilvl="0" w:tplc="368C1F94">
      <w:start w:val="161"/>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B4D08"/>
    <w:multiLevelType w:val="hybridMultilevel"/>
    <w:tmpl w:val="00F4F370"/>
    <w:lvl w:ilvl="0" w:tplc="AD6EFB4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18"/>
  </w:num>
  <w:num w:numId="6">
    <w:abstractNumId w:val="24"/>
  </w:num>
  <w:num w:numId="7">
    <w:abstractNumId w:val="23"/>
  </w:num>
  <w:num w:numId="8">
    <w:abstractNumId w:val="19"/>
  </w:num>
  <w:num w:numId="9">
    <w:abstractNumId w:val="2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86D04"/>
    <w:rsid w:val="000B42BA"/>
    <w:rsid w:val="00143F45"/>
    <w:rsid w:val="00147DF9"/>
    <w:rsid w:val="001576DC"/>
    <w:rsid w:val="001967C3"/>
    <w:rsid w:val="001D23E9"/>
    <w:rsid w:val="001D367A"/>
    <w:rsid w:val="001E65C2"/>
    <w:rsid w:val="0023413A"/>
    <w:rsid w:val="00252C8C"/>
    <w:rsid w:val="00281E91"/>
    <w:rsid w:val="003028EA"/>
    <w:rsid w:val="003206D2"/>
    <w:rsid w:val="00322835"/>
    <w:rsid w:val="00341190"/>
    <w:rsid w:val="00394ECD"/>
    <w:rsid w:val="003E23DA"/>
    <w:rsid w:val="003F0E07"/>
    <w:rsid w:val="003F4F46"/>
    <w:rsid w:val="004057A2"/>
    <w:rsid w:val="00415F22"/>
    <w:rsid w:val="00422EFB"/>
    <w:rsid w:val="00444C96"/>
    <w:rsid w:val="004B3CB0"/>
    <w:rsid w:val="00544D53"/>
    <w:rsid w:val="005D3457"/>
    <w:rsid w:val="005F68F4"/>
    <w:rsid w:val="00616E21"/>
    <w:rsid w:val="00637004"/>
    <w:rsid w:val="006C5985"/>
    <w:rsid w:val="006E4CC5"/>
    <w:rsid w:val="006E6D67"/>
    <w:rsid w:val="00711A9C"/>
    <w:rsid w:val="00726299"/>
    <w:rsid w:val="007378E2"/>
    <w:rsid w:val="007A6DB9"/>
    <w:rsid w:val="007C5CBA"/>
    <w:rsid w:val="00842FA3"/>
    <w:rsid w:val="00843E62"/>
    <w:rsid w:val="00856C11"/>
    <w:rsid w:val="008667A4"/>
    <w:rsid w:val="0087629C"/>
    <w:rsid w:val="0088158E"/>
    <w:rsid w:val="008872FD"/>
    <w:rsid w:val="008C5985"/>
    <w:rsid w:val="008D1111"/>
    <w:rsid w:val="008D3A56"/>
    <w:rsid w:val="008F7330"/>
    <w:rsid w:val="00925CB6"/>
    <w:rsid w:val="009314BB"/>
    <w:rsid w:val="009C0D08"/>
    <w:rsid w:val="009F307F"/>
    <w:rsid w:val="00A95C2F"/>
    <w:rsid w:val="00A978A9"/>
    <w:rsid w:val="00AD4FD9"/>
    <w:rsid w:val="00AF6462"/>
    <w:rsid w:val="00B045EE"/>
    <w:rsid w:val="00B0695B"/>
    <w:rsid w:val="00B1399F"/>
    <w:rsid w:val="00B6329A"/>
    <w:rsid w:val="00B87E14"/>
    <w:rsid w:val="00B95726"/>
    <w:rsid w:val="00C34268"/>
    <w:rsid w:val="00C4277D"/>
    <w:rsid w:val="00C70243"/>
    <w:rsid w:val="00C8642E"/>
    <w:rsid w:val="00CC11F4"/>
    <w:rsid w:val="00CD1C50"/>
    <w:rsid w:val="00CD1C59"/>
    <w:rsid w:val="00CD3F01"/>
    <w:rsid w:val="00CD5A5B"/>
    <w:rsid w:val="00CE4820"/>
    <w:rsid w:val="00D626C5"/>
    <w:rsid w:val="00D70032"/>
    <w:rsid w:val="00D82F58"/>
    <w:rsid w:val="00DA06CF"/>
    <w:rsid w:val="00DB2BD9"/>
    <w:rsid w:val="00E00640"/>
    <w:rsid w:val="00E01DF1"/>
    <w:rsid w:val="00E13408"/>
    <w:rsid w:val="00E3552B"/>
    <w:rsid w:val="00E555A5"/>
    <w:rsid w:val="00E610D6"/>
    <w:rsid w:val="00EA2D2B"/>
    <w:rsid w:val="00EE3280"/>
    <w:rsid w:val="00EE4064"/>
    <w:rsid w:val="00F053DA"/>
    <w:rsid w:val="00F414D0"/>
    <w:rsid w:val="00F853E7"/>
    <w:rsid w:val="00F95FB4"/>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1759"/>
  <w15:docId w15:val="{8F79885D-9DA7-4EB9-BD1B-22460FA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EA2D2B"/>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9F307F"/>
    <w:pPr>
      <w:outlineLvl w:val="2"/>
    </w:pPr>
    <w:rPr>
      <w:i/>
      <w:color w:val="auto"/>
      <w:sz w:val="28"/>
    </w:rPr>
  </w:style>
  <w:style w:type="paragraph" w:styleId="Heading4">
    <w:name w:val="heading 4"/>
    <w:basedOn w:val="Normal"/>
    <w:next w:val="Normal"/>
    <w:link w:val="Heading4Char"/>
    <w:uiPriority w:val="9"/>
    <w:unhideWhenUsed/>
    <w:qFormat/>
    <w:rsid w:val="009F3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EA2D2B"/>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9F307F"/>
    <w:rPr>
      <w:rFonts w:ascii="Tahoma" w:eastAsiaTheme="majorEastAsia" w:hAnsi="Tahoma" w:cs="Tahoma"/>
      <w:b/>
      <w:bCs/>
      <w:i/>
      <w:sz w:val="28"/>
      <w:szCs w:val="28"/>
    </w:rPr>
  </w:style>
  <w:style w:type="character" w:customStyle="1" w:styleId="Heading4Char">
    <w:name w:val="Heading 4 Char"/>
    <w:basedOn w:val="DefaultParagraphFont"/>
    <w:link w:val="Heading4"/>
    <w:uiPriority w:val="9"/>
    <w:rsid w:val="009F30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cp:lastPrinted>2018-03-19T16:51:00Z</cp:lastPrinted>
  <dcterms:created xsi:type="dcterms:W3CDTF">2019-10-29T13:29:00Z</dcterms:created>
  <dcterms:modified xsi:type="dcterms:W3CDTF">2021-09-09T09:17:00Z</dcterms:modified>
</cp:coreProperties>
</file>