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2E71" w14:textId="77777777" w:rsidR="00BD2300" w:rsidRDefault="00BD2300">
      <w:pPr>
        <w:pStyle w:val="Heading1"/>
        <w:rPr>
          <w:rFonts w:ascii="Tahoma" w:hAnsi="Tahoma" w:cs="Tahoma"/>
          <w:color w:val="auto"/>
          <w:sz w:val="22"/>
          <w:szCs w:val="22"/>
        </w:rPr>
      </w:pPr>
      <w:r>
        <w:rPr>
          <w:rFonts w:ascii="Tahoma" w:hAnsi="Tahoma" w:cs="Tahoma"/>
          <w:color w:val="auto"/>
          <w:sz w:val="22"/>
          <w:szCs w:val="22"/>
        </w:rPr>
        <w:t>Warmley Preschool – Charity</w:t>
      </w:r>
    </w:p>
    <w:p w14:paraId="217C2E72" w14:textId="77777777" w:rsidR="00BF6253" w:rsidRPr="00BD2300" w:rsidRDefault="004E18F7">
      <w:pPr>
        <w:pStyle w:val="Heading1"/>
        <w:rPr>
          <w:rFonts w:ascii="Tahoma" w:hAnsi="Tahoma" w:cs="Tahoma"/>
          <w:sz w:val="36"/>
          <w:szCs w:val="36"/>
        </w:rPr>
      </w:pPr>
      <w:r w:rsidRPr="00BD2300">
        <w:rPr>
          <w:rFonts w:ascii="Tahoma" w:hAnsi="Tahoma" w:cs="Tahoma"/>
          <w:sz w:val="36"/>
          <w:szCs w:val="36"/>
        </w:rPr>
        <w:t>Reserves policy</w:t>
      </w:r>
    </w:p>
    <w:p w14:paraId="217C2E73" w14:textId="77777777" w:rsidR="00BF6253" w:rsidRDefault="004E18F7">
      <w:r>
        <w:t>At Warmley Preschool, we aim to hold sufficient reserves to meet redundancy obligations and mobile phone contract.  We aim to maintain a level of funds to assist us if income falls below expected or to assist our recovery should we encounter a business disaster, for example loss of premises.</w:t>
      </w:r>
    </w:p>
    <w:p w14:paraId="217C2E74" w14:textId="77777777" w:rsidR="00BF6253" w:rsidRPr="00BD2300" w:rsidRDefault="004E18F7">
      <w:pPr>
        <w:pStyle w:val="Heading2"/>
        <w:rPr>
          <w:rFonts w:ascii="Tahoma" w:hAnsi="Tahoma" w:cs="Tahoma"/>
        </w:rPr>
      </w:pPr>
      <w:r w:rsidRPr="00BD2300">
        <w:rPr>
          <w:rFonts w:ascii="Tahoma" w:hAnsi="Tahoma" w:cs="Tahoma"/>
        </w:rPr>
        <w:t>Aims</w:t>
      </w:r>
    </w:p>
    <w:p w14:paraId="217C2E75" w14:textId="77777777" w:rsidR="00BF6253" w:rsidRDefault="004E18F7">
      <w:pPr>
        <w:pStyle w:val="ListParagraph"/>
        <w:numPr>
          <w:ilvl w:val="0"/>
          <w:numId w:val="2"/>
        </w:numPr>
      </w:pPr>
      <w:r>
        <w:t>Retain funds to cover redundancy and mobile phone contracts, any other termed commitments we may have in the future.</w:t>
      </w:r>
    </w:p>
    <w:p w14:paraId="217C2E76" w14:textId="77777777" w:rsidR="00BF6253" w:rsidRDefault="004E18F7">
      <w:pPr>
        <w:pStyle w:val="ListParagraph"/>
        <w:numPr>
          <w:ilvl w:val="0"/>
          <w:numId w:val="2"/>
        </w:numPr>
      </w:pPr>
      <w:r>
        <w:t>Ensure our funds cover the cost of relocation, in the incidence that our current rental accommodation becomes unavailable.  This equates to a terms costs, which equates to 13 weeks.</w:t>
      </w:r>
    </w:p>
    <w:p w14:paraId="217C2E77" w14:textId="77777777" w:rsidR="00BF6253" w:rsidRDefault="004E18F7">
      <w:pPr>
        <w:pStyle w:val="ListParagraph"/>
        <w:numPr>
          <w:ilvl w:val="0"/>
          <w:numId w:val="2"/>
        </w:numPr>
      </w:pPr>
      <w:r>
        <w:t>Manage our funds responsibly.</w:t>
      </w:r>
    </w:p>
    <w:p w14:paraId="217C2E78" w14:textId="77777777" w:rsidR="00BF6253" w:rsidRDefault="004E18F7">
      <w:pPr>
        <w:pStyle w:val="ListParagraph"/>
        <w:numPr>
          <w:ilvl w:val="0"/>
          <w:numId w:val="2"/>
        </w:numPr>
      </w:pPr>
      <w:r>
        <w:t>Provide a budget to enable us to predict fluctuations in our revenues and expenditures quickly to enable quick resolutions.</w:t>
      </w:r>
    </w:p>
    <w:p w14:paraId="217C2E79" w14:textId="77777777" w:rsidR="00BF6253" w:rsidRDefault="004E18F7">
      <w:pPr>
        <w:pStyle w:val="ListParagraph"/>
        <w:numPr>
          <w:ilvl w:val="0"/>
          <w:numId w:val="2"/>
        </w:numPr>
      </w:pPr>
      <w:r>
        <w:t>In the event that funds are used to recover from unexpected incidences, we will aim to rebuild our reserves primarily to meet redundancy obligations (inclusive of pension payments</w:t>
      </w:r>
      <w:proofErr w:type="gramStart"/>
      <w:r>
        <w:t>), and</w:t>
      </w:r>
      <w:proofErr w:type="gramEnd"/>
      <w:r>
        <w:t xml:space="preserve"> continue to rebuild our funds to cover a business disaster.</w:t>
      </w:r>
    </w:p>
    <w:p w14:paraId="217C2E7A" w14:textId="77777777" w:rsidR="00BF6253" w:rsidRPr="00BD2300" w:rsidRDefault="004E18F7">
      <w:pPr>
        <w:pStyle w:val="Heading2"/>
        <w:rPr>
          <w:rFonts w:ascii="Tahoma" w:hAnsi="Tahoma" w:cs="Tahoma"/>
        </w:rPr>
      </w:pPr>
      <w:r w:rsidRPr="00BD2300">
        <w:rPr>
          <w:rFonts w:ascii="Tahoma" w:hAnsi="Tahoma" w:cs="Tahoma"/>
        </w:rPr>
        <w:t>Procedures</w:t>
      </w:r>
    </w:p>
    <w:p w14:paraId="217C2E7B" w14:textId="77777777" w:rsidR="00BF6253" w:rsidRDefault="004E18F7">
      <w:pPr>
        <w:pStyle w:val="ListParagraph"/>
        <w:numPr>
          <w:ilvl w:val="0"/>
          <w:numId w:val="3"/>
        </w:numPr>
      </w:pPr>
      <w:r>
        <w:t>As per recommendations, we operate 2 bank accounts.</w:t>
      </w:r>
    </w:p>
    <w:p w14:paraId="217C2E7C" w14:textId="77777777" w:rsidR="00BF6253" w:rsidRDefault="004E18F7">
      <w:pPr>
        <w:pStyle w:val="ListParagraph"/>
        <w:numPr>
          <w:ilvl w:val="0"/>
          <w:numId w:val="3"/>
        </w:numPr>
      </w:pPr>
      <w:r>
        <w:t>We use a business current account for our business transactions.</w:t>
      </w:r>
    </w:p>
    <w:p w14:paraId="217C2E7D" w14:textId="77777777" w:rsidR="00BF6253" w:rsidRDefault="004E18F7">
      <w:pPr>
        <w:pStyle w:val="ListParagraph"/>
        <w:numPr>
          <w:ilvl w:val="0"/>
          <w:numId w:val="3"/>
        </w:numPr>
      </w:pPr>
      <w:r>
        <w:t>We have a reserves account, this is a business savings account.</w:t>
      </w:r>
    </w:p>
    <w:p w14:paraId="217C2E7E" w14:textId="77777777" w:rsidR="00BF6253" w:rsidRDefault="004E18F7">
      <w:pPr>
        <w:pStyle w:val="ListParagraph"/>
        <w:numPr>
          <w:ilvl w:val="0"/>
          <w:numId w:val="3"/>
        </w:numPr>
      </w:pPr>
      <w:r>
        <w:t>Each year after our AGM, we review our reserves.  We base this calculation on the cost of redundancy for the full preschool team, essential costs such our mobile phone contract.  The fund must cover at least these costs at a minimum.</w:t>
      </w:r>
    </w:p>
    <w:p w14:paraId="217C2E7F" w14:textId="77777777" w:rsidR="00BF6253" w:rsidRDefault="004E18F7">
      <w:pPr>
        <w:pStyle w:val="ListParagraph"/>
        <w:numPr>
          <w:ilvl w:val="0"/>
          <w:numId w:val="3"/>
        </w:numPr>
      </w:pPr>
      <w:r>
        <w:t>We aim to cover the cost of notice to staff.</w:t>
      </w:r>
    </w:p>
    <w:p w14:paraId="217C2E80" w14:textId="77777777" w:rsidR="00BF6253" w:rsidRDefault="004E18F7">
      <w:pPr>
        <w:pStyle w:val="ListParagraph"/>
        <w:numPr>
          <w:ilvl w:val="0"/>
          <w:numId w:val="3"/>
        </w:numPr>
      </w:pPr>
      <w:r>
        <w:t>Our redundancy fund grows each year and will continue to do so as we employ the changes of the living wage.  Also if we take on a new member of staff, we cover the notice period in the redundancy calculation.</w:t>
      </w:r>
    </w:p>
    <w:p w14:paraId="217C2E81" w14:textId="77777777" w:rsidR="00BF6253" w:rsidRDefault="004E18F7">
      <w:pPr>
        <w:pStyle w:val="ListParagraph"/>
        <w:numPr>
          <w:ilvl w:val="0"/>
          <w:numId w:val="3"/>
        </w:numPr>
      </w:pPr>
      <w:r>
        <w:t>There may be other costs that will be taken into consideration, this will be reviewed by the committee and if agreed, will be reflected in our policy.</w:t>
      </w:r>
    </w:p>
    <w:p w14:paraId="217C2E82" w14:textId="77777777" w:rsidR="00BF6253" w:rsidRDefault="004E18F7">
      <w:pPr>
        <w:pStyle w:val="ListParagraph"/>
        <w:numPr>
          <w:ilvl w:val="0"/>
          <w:numId w:val="3"/>
        </w:numPr>
      </w:pPr>
      <w:r>
        <w:t>We will make suitable risk assessments before using reserves.</w:t>
      </w:r>
    </w:p>
    <w:p w14:paraId="217C2E83" w14:textId="77777777" w:rsidR="00BF6253" w:rsidRDefault="004E18F7">
      <w:pPr>
        <w:pStyle w:val="ListParagraph"/>
        <w:numPr>
          <w:ilvl w:val="0"/>
          <w:numId w:val="3"/>
        </w:numPr>
      </w:pPr>
      <w:r>
        <w:lastRenderedPageBreak/>
        <w:t xml:space="preserve">The money in reserves </w:t>
      </w:r>
      <w:proofErr w:type="gramStart"/>
      <w:r>
        <w:t>are</w:t>
      </w:r>
      <w:proofErr w:type="gramEnd"/>
      <w:r>
        <w:t xml:space="preserve"> for the described reasons.  Should we encounter a situation that does not reach this criteria, the committee will meet to discuss alternative options.  If the only solution is to use our reserves, then this will be done by a committee vote.  </w:t>
      </w:r>
    </w:p>
    <w:p w14:paraId="217C2E84" w14:textId="77777777" w:rsidR="00BF6253" w:rsidRDefault="004E18F7">
      <w:pPr>
        <w:pStyle w:val="ListParagraph"/>
        <w:numPr>
          <w:ilvl w:val="0"/>
          <w:numId w:val="3"/>
        </w:numPr>
      </w:pPr>
      <w:r>
        <w:t>Our reserves will be grown using good business practice techniques.  This will ensure our income is greater than expenditure.</w:t>
      </w:r>
    </w:p>
    <w:p w14:paraId="217C2E85" w14:textId="77777777" w:rsidR="00BF6253" w:rsidRDefault="004E18F7">
      <w:pPr>
        <w:pStyle w:val="ListParagraph"/>
        <w:numPr>
          <w:ilvl w:val="0"/>
          <w:numId w:val="3"/>
        </w:numPr>
      </w:pPr>
      <w:r>
        <w:t>Reserves will not be developed by fund raising activities.</w:t>
      </w:r>
    </w:p>
    <w:p w14:paraId="217C2E86" w14:textId="77777777" w:rsidR="00BF6253" w:rsidRDefault="004E18F7">
      <w:pPr>
        <w:pStyle w:val="ListParagraph"/>
        <w:numPr>
          <w:ilvl w:val="0"/>
          <w:numId w:val="3"/>
        </w:numPr>
      </w:pPr>
      <w:r>
        <w:t>We will actively seek opportunities to fund the preschool activities by fund raising, parent/carer inclusion and donations.</w:t>
      </w:r>
    </w:p>
    <w:p w14:paraId="217C2E87" w14:textId="77777777" w:rsidR="00BF6253" w:rsidRDefault="004E18F7">
      <w:pPr>
        <w:pStyle w:val="ListParagraph"/>
        <w:numPr>
          <w:ilvl w:val="0"/>
          <w:numId w:val="3"/>
        </w:numPr>
      </w:pPr>
      <w:r>
        <w:t>If using our reserves results in a balance of £7,000 or less, we will look at alternative options to funding that activity.</w:t>
      </w:r>
    </w:p>
    <w:p w14:paraId="217C2E88" w14:textId="77777777" w:rsidR="00BF6253" w:rsidRDefault="004E18F7">
      <w:pPr>
        <w:pStyle w:val="ListParagraph"/>
        <w:numPr>
          <w:ilvl w:val="0"/>
          <w:numId w:val="3"/>
        </w:numPr>
      </w:pPr>
      <w:r>
        <w:t>Our Reserves policy will be reviewed periodically.</w:t>
      </w:r>
    </w:p>
    <w:p w14:paraId="217C2E89" w14:textId="77777777" w:rsidR="00BF6253" w:rsidRDefault="004E18F7">
      <w:pPr>
        <w:pStyle w:val="ListParagraph"/>
        <w:numPr>
          <w:ilvl w:val="0"/>
          <w:numId w:val="3"/>
        </w:numPr>
      </w:pPr>
      <w:r>
        <w:t>Our Reserves policy will be reviewed in any instance that we have used a portion of our reserves.</w:t>
      </w:r>
    </w:p>
    <w:p w14:paraId="217C2E8A" w14:textId="77777777" w:rsidR="00BF6253" w:rsidRDefault="004E18F7">
      <w:pPr>
        <w:pStyle w:val="ListParagraph"/>
        <w:numPr>
          <w:ilvl w:val="0"/>
          <w:numId w:val="3"/>
        </w:numPr>
      </w:pPr>
      <w:r>
        <w:t>Our policy has been revised to take into consideration the changes in the preschool in the last 2 years.</w:t>
      </w:r>
    </w:p>
    <w:p w14:paraId="217C2E8B" w14:textId="77777777" w:rsidR="00BF6253" w:rsidRPr="00BD2300" w:rsidRDefault="004E18F7">
      <w:pPr>
        <w:pStyle w:val="Heading1"/>
        <w:rPr>
          <w:rFonts w:ascii="Tahoma" w:hAnsi="Tahoma" w:cs="Tahoma"/>
          <w:sz w:val="36"/>
          <w:szCs w:val="36"/>
        </w:rPr>
      </w:pPr>
      <w:r w:rsidRPr="00BD2300">
        <w:rPr>
          <w:rFonts w:ascii="Tahoma" w:hAnsi="Tahoma" w:cs="Tahoma"/>
          <w:sz w:val="36"/>
          <w:szCs w:val="36"/>
        </w:rPr>
        <w:t>Adoption of Policy</w:t>
      </w:r>
    </w:p>
    <w:p w14:paraId="217C2E8C" w14:textId="77777777" w:rsidR="00BF6253" w:rsidRDefault="004E18F7">
      <w:r>
        <w:t xml:space="preserve">This policy was adopted as </w:t>
      </w:r>
      <w:proofErr w:type="gramStart"/>
      <w:r>
        <w:t>follows :</w:t>
      </w:r>
      <w:proofErr w:type="gramEnd"/>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62"/>
      </w:tblGrid>
      <w:tr w:rsidR="00BF6253" w14:paraId="217C2E8F" w14:textId="77777777">
        <w:tc>
          <w:tcPr>
            <w:tcW w:w="2660" w:type="dxa"/>
          </w:tcPr>
          <w:p w14:paraId="217C2E8D" w14:textId="77777777" w:rsidR="00BF6253" w:rsidRDefault="004E18F7">
            <w:pPr>
              <w:spacing w:before="120" w:after="360"/>
              <w:rPr>
                <w:b/>
              </w:rPr>
            </w:pPr>
            <w:r>
              <w:rPr>
                <w:b/>
              </w:rPr>
              <w:t>Meeting of</w:t>
            </w:r>
          </w:p>
        </w:tc>
        <w:tc>
          <w:tcPr>
            <w:tcW w:w="6662" w:type="dxa"/>
            <w:tcBorders>
              <w:bottom w:val="single" w:sz="4" w:space="0" w:color="auto"/>
            </w:tcBorders>
          </w:tcPr>
          <w:p w14:paraId="217C2E8E" w14:textId="77777777" w:rsidR="00BF6253" w:rsidRDefault="00BF6253">
            <w:pPr>
              <w:spacing w:before="120" w:after="120"/>
              <w:rPr>
                <w:b/>
              </w:rPr>
            </w:pPr>
          </w:p>
        </w:tc>
      </w:tr>
      <w:tr w:rsidR="00BF6253" w14:paraId="217C2E92" w14:textId="77777777">
        <w:tc>
          <w:tcPr>
            <w:tcW w:w="2660" w:type="dxa"/>
          </w:tcPr>
          <w:p w14:paraId="217C2E90" w14:textId="77777777" w:rsidR="00BF6253" w:rsidRDefault="004E18F7">
            <w:pPr>
              <w:spacing w:before="120" w:after="360"/>
              <w:rPr>
                <w:b/>
              </w:rPr>
            </w:pPr>
            <w:r>
              <w:rPr>
                <w:b/>
              </w:rPr>
              <w:t>Date held</w:t>
            </w:r>
          </w:p>
        </w:tc>
        <w:tc>
          <w:tcPr>
            <w:tcW w:w="6662" w:type="dxa"/>
            <w:tcBorders>
              <w:top w:val="single" w:sz="4" w:space="0" w:color="auto"/>
              <w:bottom w:val="single" w:sz="4" w:space="0" w:color="auto"/>
            </w:tcBorders>
          </w:tcPr>
          <w:p w14:paraId="217C2E91" w14:textId="77777777" w:rsidR="00BF6253" w:rsidRDefault="00BF6253">
            <w:pPr>
              <w:spacing w:before="120" w:after="120"/>
              <w:rPr>
                <w:b/>
              </w:rPr>
            </w:pPr>
          </w:p>
        </w:tc>
      </w:tr>
      <w:tr w:rsidR="00BF6253" w14:paraId="217C2E95" w14:textId="77777777">
        <w:tc>
          <w:tcPr>
            <w:tcW w:w="2660" w:type="dxa"/>
          </w:tcPr>
          <w:p w14:paraId="217C2E93" w14:textId="77777777" w:rsidR="00BF6253" w:rsidRDefault="004E18F7">
            <w:pPr>
              <w:spacing w:before="120" w:after="360"/>
              <w:rPr>
                <w:b/>
              </w:rPr>
            </w:pPr>
            <w:r>
              <w:rPr>
                <w:b/>
              </w:rPr>
              <w:t>Date for review</w:t>
            </w:r>
          </w:p>
        </w:tc>
        <w:tc>
          <w:tcPr>
            <w:tcW w:w="6662" w:type="dxa"/>
            <w:tcBorders>
              <w:top w:val="single" w:sz="4" w:space="0" w:color="auto"/>
              <w:bottom w:val="single" w:sz="4" w:space="0" w:color="auto"/>
            </w:tcBorders>
          </w:tcPr>
          <w:p w14:paraId="217C2E94" w14:textId="77777777" w:rsidR="00BF6253" w:rsidRDefault="00BF6253">
            <w:pPr>
              <w:spacing w:before="120" w:after="120"/>
              <w:rPr>
                <w:b/>
              </w:rPr>
            </w:pPr>
          </w:p>
        </w:tc>
      </w:tr>
    </w:tbl>
    <w:p w14:paraId="217C2E96" w14:textId="77777777" w:rsidR="00BF6253" w:rsidRDefault="00BF6253">
      <w:pPr>
        <w:rPr>
          <w:rFonts w:cs="Tahoma"/>
          <w:color w:val="1F497D" w:themeColor="text2"/>
        </w:rPr>
      </w:pPr>
    </w:p>
    <w:p w14:paraId="217C2E97" w14:textId="77777777" w:rsidR="00BF6253" w:rsidRDefault="004E18F7">
      <w:r>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835"/>
        <w:gridCol w:w="760"/>
        <w:gridCol w:w="3067"/>
      </w:tblGrid>
      <w:tr w:rsidR="00BF6253" w14:paraId="217C2E9A" w14:textId="77777777">
        <w:tc>
          <w:tcPr>
            <w:tcW w:w="2660" w:type="dxa"/>
          </w:tcPr>
          <w:p w14:paraId="217C2E98" w14:textId="77777777" w:rsidR="00BF6253" w:rsidRDefault="004E18F7">
            <w:pPr>
              <w:spacing w:before="120" w:after="360"/>
              <w:rPr>
                <w:b/>
              </w:rPr>
            </w:pPr>
            <w:r>
              <w:rPr>
                <w:b/>
              </w:rPr>
              <w:t>Signature</w:t>
            </w:r>
          </w:p>
        </w:tc>
        <w:tc>
          <w:tcPr>
            <w:tcW w:w="6662" w:type="dxa"/>
            <w:gridSpan w:val="3"/>
            <w:tcBorders>
              <w:bottom w:val="single" w:sz="4" w:space="0" w:color="auto"/>
            </w:tcBorders>
          </w:tcPr>
          <w:p w14:paraId="217C2E99" w14:textId="77777777" w:rsidR="00BF6253" w:rsidRDefault="00BF6253">
            <w:pPr>
              <w:spacing w:before="120" w:after="120"/>
              <w:rPr>
                <w:b/>
              </w:rPr>
            </w:pPr>
          </w:p>
        </w:tc>
      </w:tr>
      <w:tr w:rsidR="00BF6253" w14:paraId="217C2E9D" w14:textId="77777777">
        <w:tc>
          <w:tcPr>
            <w:tcW w:w="2660" w:type="dxa"/>
          </w:tcPr>
          <w:p w14:paraId="217C2E9B" w14:textId="77777777" w:rsidR="00BF6253" w:rsidRDefault="004E18F7">
            <w:pPr>
              <w:spacing w:before="120" w:after="360"/>
              <w:rPr>
                <w:b/>
              </w:rPr>
            </w:pPr>
            <w:r>
              <w:rPr>
                <w:b/>
              </w:rPr>
              <w:t>Name of Signatory</w:t>
            </w:r>
          </w:p>
        </w:tc>
        <w:tc>
          <w:tcPr>
            <w:tcW w:w="6662" w:type="dxa"/>
            <w:gridSpan w:val="3"/>
            <w:tcBorders>
              <w:bottom w:val="single" w:sz="4" w:space="0" w:color="auto"/>
            </w:tcBorders>
          </w:tcPr>
          <w:p w14:paraId="217C2E9C" w14:textId="77777777" w:rsidR="00BF6253" w:rsidRDefault="00BF6253">
            <w:pPr>
              <w:spacing w:before="120" w:after="120"/>
              <w:rPr>
                <w:b/>
              </w:rPr>
            </w:pPr>
          </w:p>
        </w:tc>
      </w:tr>
      <w:tr w:rsidR="00BF6253" w14:paraId="217C2EA2" w14:textId="77777777">
        <w:tc>
          <w:tcPr>
            <w:tcW w:w="2660" w:type="dxa"/>
          </w:tcPr>
          <w:p w14:paraId="217C2E9E" w14:textId="77777777" w:rsidR="00BF6253" w:rsidRDefault="004E18F7">
            <w:pPr>
              <w:spacing w:before="120" w:after="360"/>
              <w:rPr>
                <w:b/>
              </w:rPr>
            </w:pPr>
            <w:r>
              <w:rPr>
                <w:b/>
              </w:rPr>
              <w:t>Role of Signatory</w:t>
            </w:r>
          </w:p>
        </w:tc>
        <w:tc>
          <w:tcPr>
            <w:tcW w:w="2835" w:type="dxa"/>
            <w:tcBorders>
              <w:top w:val="single" w:sz="4" w:space="0" w:color="auto"/>
              <w:bottom w:val="single" w:sz="4" w:space="0" w:color="auto"/>
            </w:tcBorders>
          </w:tcPr>
          <w:p w14:paraId="217C2E9F" w14:textId="77777777" w:rsidR="00BF6253" w:rsidRDefault="00BF6253">
            <w:pPr>
              <w:spacing w:before="120" w:after="120"/>
              <w:rPr>
                <w:b/>
              </w:rPr>
            </w:pPr>
          </w:p>
        </w:tc>
        <w:tc>
          <w:tcPr>
            <w:tcW w:w="760" w:type="dxa"/>
          </w:tcPr>
          <w:p w14:paraId="217C2EA0" w14:textId="77777777" w:rsidR="00BF6253" w:rsidRDefault="004E18F7">
            <w:pPr>
              <w:spacing w:before="120" w:after="120"/>
              <w:rPr>
                <w:b/>
              </w:rPr>
            </w:pPr>
            <w:r>
              <w:rPr>
                <w:b/>
              </w:rPr>
              <w:t>Date</w:t>
            </w:r>
          </w:p>
        </w:tc>
        <w:tc>
          <w:tcPr>
            <w:tcW w:w="3067" w:type="dxa"/>
            <w:tcBorders>
              <w:top w:val="single" w:sz="4" w:space="0" w:color="auto"/>
              <w:bottom w:val="single" w:sz="4" w:space="0" w:color="auto"/>
            </w:tcBorders>
          </w:tcPr>
          <w:p w14:paraId="217C2EA1" w14:textId="77777777" w:rsidR="00BF6253" w:rsidRDefault="00BF6253">
            <w:pPr>
              <w:spacing w:before="120" w:after="120"/>
              <w:rPr>
                <w:b/>
              </w:rPr>
            </w:pPr>
          </w:p>
        </w:tc>
      </w:tr>
    </w:tbl>
    <w:p w14:paraId="217C2EA3" w14:textId="77777777" w:rsidR="00BF6253" w:rsidRDefault="00BF6253"/>
    <w:sectPr w:rsidR="00BF6253" w:rsidSect="00BF62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7727" w14:textId="77777777" w:rsidR="00F50FA9" w:rsidRDefault="00F50FA9" w:rsidP="00BF6253">
      <w:pPr>
        <w:spacing w:after="0" w:line="240" w:lineRule="auto"/>
      </w:pPr>
      <w:r>
        <w:separator/>
      </w:r>
    </w:p>
  </w:endnote>
  <w:endnote w:type="continuationSeparator" w:id="0">
    <w:p w14:paraId="725BD404" w14:textId="77777777" w:rsidR="00F50FA9" w:rsidRDefault="00F50FA9" w:rsidP="00B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55DC" w14:textId="77777777" w:rsidR="0016018D" w:rsidRDefault="00160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8A7" w14:textId="77777777" w:rsidR="0016018D" w:rsidRDefault="00160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2EB8" w14:textId="77777777" w:rsidR="00BF6253" w:rsidRDefault="004E18F7">
    <w:pPr>
      <w:pStyle w:val="Footer"/>
      <w:jc w:val="center"/>
      <w:rPr>
        <w:szCs w:val="20"/>
      </w:rPr>
    </w:pPr>
    <w:r>
      <w:rPr>
        <w:szCs w:val="20"/>
      </w:rPr>
      <w:t>Find us at</w:t>
    </w:r>
  </w:p>
  <w:p w14:paraId="217C2EB9" w14:textId="77777777" w:rsidR="00BF6253" w:rsidRDefault="004E18F7">
    <w:pPr>
      <w:pStyle w:val="Footer"/>
      <w:jc w:val="center"/>
      <w:rPr>
        <w:color w:val="1F497D" w:themeColor="text2"/>
        <w:szCs w:val="20"/>
      </w:rPr>
    </w:pPr>
    <w:r>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0528" w14:textId="77777777" w:rsidR="00F50FA9" w:rsidRDefault="00F50FA9" w:rsidP="00BF6253">
      <w:pPr>
        <w:spacing w:after="0" w:line="240" w:lineRule="auto"/>
      </w:pPr>
      <w:r>
        <w:separator/>
      </w:r>
    </w:p>
  </w:footnote>
  <w:footnote w:type="continuationSeparator" w:id="0">
    <w:p w14:paraId="08F8BBC7" w14:textId="77777777" w:rsidR="00F50FA9" w:rsidRDefault="00F50FA9" w:rsidP="00BF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3311" w14:textId="77777777" w:rsidR="0016018D" w:rsidRDefault="0016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885" w14:textId="77777777" w:rsidR="0016018D" w:rsidRDefault="00160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BF6253" w14:paraId="217C2EAA" w14:textId="77777777">
      <w:tc>
        <w:tcPr>
          <w:tcW w:w="2660" w:type="dxa"/>
          <w:vMerge w:val="restart"/>
        </w:tcPr>
        <w:p w14:paraId="217C2EA8" w14:textId="12E16ADE" w:rsidR="00BF6253" w:rsidRDefault="0016018D">
          <w:pPr>
            <w:jc w:val="right"/>
            <w:rPr>
              <w:b/>
              <w:color w:val="FF6699"/>
              <w:sz w:val="28"/>
            </w:rPr>
          </w:pPr>
          <w:r>
            <w:rPr>
              <w:b/>
              <w:noProof/>
              <w:color w:val="FF6699"/>
              <w:sz w:val="28"/>
            </w:rPr>
            <w:drawing>
              <wp:inline distT="0" distB="0" distL="0" distR="0" wp14:anchorId="6CCD8D14" wp14:editId="6867C16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217C2EA9" w14:textId="77777777" w:rsidR="00BF6253" w:rsidRDefault="004E18F7">
          <w:pPr>
            <w:jc w:val="center"/>
            <w:rPr>
              <w:b/>
              <w:color w:val="365F91" w:themeColor="accent1" w:themeShade="BF"/>
              <w:sz w:val="36"/>
              <w:szCs w:val="20"/>
            </w:rPr>
          </w:pPr>
          <w:r>
            <w:rPr>
              <w:b/>
              <w:color w:val="FF6699"/>
              <w:sz w:val="36"/>
            </w:rPr>
            <w:t xml:space="preserve">Friends of </w:t>
          </w:r>
          <w:r>
            <w:rPr>
              <w:b/>
              <w:color w:val="365F91" w:themeColor="accent1" w:themeShade="BF"/>
              <w:sz w:val="36"/>
            </w:rPr>
            <w:t>Warmley Preschool</w:t>
          </w:r>
        </w:p>
      </w:tc>
    </w:tr>
    <w:tr w:rsidR="00BF6253" w14:paraId="217C2EAD" w14:textId="77777777">
      <w:tc>
        <w:tcPr>
          <w:tcW w:w="2660" w:type="dxa"/>
          <w:vMerge/>
        </w:tcPr>
        <w:p w14:paraId="217C2EAB" w14:textId="77777777" w:rsidR="00BF6253" w:rsidRDefault="00BF6253">
          <w:pPr>
            <w:jc w:val="right"/>
            <w:rPr>
              <w:rFonts w:cs="Arial"/>
              <w:sz w:val="18"/>
              <w:szCs w:val="20"/>
            </w:rPr>
          </w:pPr>
        </w:p>
      </w:tc>
      <w:tc>
        <w:tcPr>
          <w:tcW w:w="5436" w:type="dxa"/>
        </w:tcPr>
        <w:p w14:paraId="217C2EAC" w14:textId="77777777" w:rsidR="00BF6253" w:rsidRDefault="004E18F7">
          <w:pPr>
            <w:jc w:val="center"/>
            <w:rPr>
              <w:rFonts w:cs="Arial"/>
              <w:sz w:val="24"/>
              <w:szCs w:val="20"/>
            </w:rPr>
          </w:pPr>
          <w:r>
            <w:rPr>
              <w:rFonts w:cs="Arial"/>
              <w:sz w:val="24"/>
              <w:szCs w:val="20"/>
            </w:rPr>
            <w:t xml:space="preserve">20 Deanery Road, </w:t>
          </w:r>
          <w:r>
            <w:rPr>
              <w:bCs/>
              <w:sz w:val="24"/>
              <w:szCs w:val="20"/>
            </w:rPr>
            <w:t>Warmley</w:t>
          </w:r>
          <w:r>
            <w:rPr>
              <w:b/>
              <w:bCs/>
              <w:sz w:val="24"/>
              <w:szCs w:val="20"/>
            </w:rPr>
            <w:t xml:space="preserve">, </w:t>
          </w:r>
          <w:r>
            <w:rPr>
              <w:rFonts w:cs="Arial"/>
              <w:sz w:val="24"/>
              <w:szCs w:val="20"/>
            </w:rPr>
            <w:t>Bristol, BS15 9JB</w:t>
          </w:r>
        </w:p>
      </w:tc>
    </w:tr>
    <w:tr w:rsidR="00BF6253" w14:paraId="217C2EB1" w14:textId="77777777">
      <w:tc>
        <w:tcPr>
          <w:tcW w:w="2660" w:type="dxa"/>
          <w:vMerge/>
        </w:tcPr>
        <w:p w14:paraId="217C2EAE" w14:textId="77777777" w:rsidR="00BF6253" w:rsidRDefault="00BF6253">
          <w:pPr>
            <w:jc w:val="right"/>
            <w:rPr>
              <w:rFonts w:cs="Arial"/>
              <w:sz w:val="18"/>
              <w:szCs w:val="20"/>
            </w:rPr>
          </w:pPr>
        </w:p>
      </w:tc>
      <w:tc>
        <w:tcPr>
          <w:tcW w:w="5436" w:type="dxa"/>
        </w:tcPr>
        <w:p w14:paraId="217C2EAF" w14:textId="77777777" w:rsidR="00BF6253" w:rsidRDefault="004E18F7">
          <w:pPr>
            <w:jc w:val="center"/>
            <w:rPr>
              <w:rFonts w:cs="Arial"/>
              <w:sz w:val="24"/>
              <w:szCs w:val="20"/>
            </w:rPr>
          </w:pPr>
          <w:r>
            <w:rPr>
              <w:rFonts w:cs="Arial"/>
              <w:sz w:val="24"/>
              <w:szCs w:val="20"/>
            </w:rPr>
            <w:t>Tel: 07951 309201</w:t>
          </w:r>
        </w:p>
        <w:p w14:paraId="217C2EB0" w14:textId="77777777" w:rsidR="00BF6253" w:rsidRDefault="004E18F7">
          <w:pPr>
            <w:jc w:val="center"/>
            <w:rPr>
              <w:b/>
              <w:color w:val="365F91" w:themeColor="accent1" w:themeShade="BF"/>
              <w:sz w:val="24"/>
              <w:szCs w:val="20"/>
            </w:rPr>
          </w:pPr>
          <w:r>
            <w:rPr>
              <w:rFonts w:cs="Arial"/>
              <w:sz w:val="24"/>
              <w:szCs w:val="20"/>
            </w:rPr>
            <w:t>service@warmleypreschool.co.uk</w:t>
          </w:r>
        </w:p>
      </w:tc>
    </w:tr>
    <w:tr w:rsidR="00BF6253" w14:paraId="217C2EB4" w14:textId="77777777">
      <w:tc>
        <w:tcPr>
          <w:tcW w:w="2660" w:type="dxa"/>
          <w:vMerge/>
        </w:tcPr>
        <w:p w14:paraId="217C2EB2" w14:textId="77777777" w:rsidR="00BF6253" w:rsidRDefault="00BF6253">
          <w:pPr>
            <w:jc w:val="right"/>
            <w:rPr>
              <w:rFonts w:cs="Arial"/>
              <w:sz w:val="18"/>
              <w:szCs w:val="20"/>
            </w:rPr>
          </w:pPr>
        </w:p>
      </w:tc>
      <w:tc>
        <w:tcPr>
          <w:tcW w:w="5436" w:type="dxa"/>
        </w:tcPr>
        <w:p w14:paraId="217C2EB3" w14:textId="77777777" w:rsidR="00BF6253" w:rsidRDefault="004E18F7">
          <w:pPr>
            <w:jc w:val="center"/>
            <w:rPr>
              <w:b/>
              <w:color w:val="365F91" w:themeColor="accent1" w:themeShade="BF"/>
              <w:sz w:val="24"/>
              <w:szCs w:val="20"/>
            </w:rPr>
          </w:pPr>
          <w:r>
            <w:rPr>
              <w:rFonts w:cs="Arial"/>
              <w:sz w:val="24"/>
              <w:szCs w:val="20"/>
            </w:rPr>
            <w:t>Charity No: 1017300</w:t>
          </w:r>
        </w:p>
      </w:tc>
    </w:tr>
    <w:tr w:rsidR="00BF6253" w14:paraId="217C2EB6" w14:textId="77777777">
      <w:trPr>
        <w:gridAfter w:val="1"/>
        <w:wAfter w:w="5436" w:type="dxa"/>
        <w:trHeight w:val="220"/>
      </w:trPr>
      <w:tc>
        <w:tcPr>
          <w:tcW w:w="2660" w:type="dxa"/>
          <w:vMerge/>
        </w:tcPr>
        <w:p w14:paraId="217C2EB5" w14:textId="77777777" w:rsidR="00BF6253" w:rsidRDefault="00BF6253">
          <w:pPr>
            <w:jc w:val="right"/>
            <w:rPr>
              <w:rFonts w:cs="Arial"/>
              <w:sz w:val="18"/>
              <w:szCs w:val="20"/>
            </w:rPr>
          </w:pPr>
        </w:p>
      </w:tc>
    </w:tr>
  </w:tbl>
  <w:p w14:paraId="217C2EB7" w14:textId="77777777" w:rsidR="00BF6253" w:rsidRDefault="00BF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363C656A"/>
    <w:multiLevelType w:val="multilevel"/>
    <w:tmpl w:val="363C65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B57AE1"/>
    <w:multiLevelType w:val="multilevel"/>
    <w:tmpl w:val="41B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110B8F"/>
    <w:rsid w:val="00143F45"/>
    <w:rsid w:val="0016018D"/>
    <w:rsid w:val="00185EC2"/>
    <w:rsid w:val="001967C3"/>
    <w:rsid w:val="001C3BCB"/>
    <w:rsid w:val="00281E91"/>
    <w:rsid w:val="00322835"/>
    <w:rsid w:val="00394ECD"/>
    <w:rsid w:val="003F4F46"/>
    <w:rsid w:val="0040734D"/>
    <w:rsid w:val="00443992"/>
    <w:rsid w:val="004E18F7"/>
    <w:rsid w:val="005D657E"/>
    <w:rsid w:val="006125BF"/>
    <w:rsid w:val="00616E21"/>
    <w:rsid w:val="008450AE"/>
    <w:rsid w:val="0088158E"/>
    <w:rsid w:val="008872FD"/>
    <w:rsid w:val="008A6E76"/>
    <w:rsid w:val="008B4478"/>
    <w:rsid w:val="008C5985"/>
    <w:rsid w:val="008D3A56"/>
    <w:rsid w:val="008F7330"/>
    <w:rsid w:val="009314BB"/>
    <w:rsid w:val="009F0D02"/>
    <w:rsid w:val="00AE6DDA"/>
    <w:rsid w:val="00B0695B"/>
    <w:rsid w:val="00B95726"/>
    <w:rsid w:val="00BD2300"/>
    <w:rsid w:val="00BF6253"/>
    <w:rsid w:val="00C640D4"/>
    <w:rsid w:val="00CC24AD"/>
    <w:rsid w:val="00CD00BF"/>
    <w:rsid w:val="00CD3F01"/>
    <w:rsid w:val="00D36523"/>
    <w:rsid w:val="00D70032"/>
    <w:rsid w:val="00D82F58"/>
    <w:rsid w:val="00DA06CF"/>
    <w:rsid w:val="00DB2BD9"/>
    <w:rsid w:val="00E311B6"/>
    <w:rsid w:val="00F50FA9"/>
    <w:rsid w:val="00F853E7"/>
    <w:rsid w:val="00FD1908"/>
    <w:rsid w:val="32D17003"/>
    <w:rsid w:val="6422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2E71"/>
  <w15:docId w15:val="{4A528337-8B34-4075-B60E-D8E6CDA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53"/>
    <w:rPr>
      <w:sz w:val="22"/>
      <w:szCs w:val="22"/>
      <w:lang w:eastAsia="en-US"/>
    </w:rPr>
  </w:style>
  <w:style w:type="paragraph" w:styleId="Heading1">
    <w:name w:val="heading 1"/>
    <w:basedOn w:val="Normal"/>
    <w:next w:val="Normal"/>
    <w:link w:val="Heading1Char"/>
    <w:uiPriority w:val="9"/>
    <w:qFormat/>
    <w:rsid w:val="00BF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F6253"/>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6253"/>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BF6253"/>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BF6253"/>
    <w:pPr>
      <w:tabs>
        <w:tab w:val="center" w:pos="4513"/>
        <w:tab w:val="right" w:pos="9026"/>
      </w:tabs>
      <w:spacing w:after="0" w:line="240" w:lineRule="auto"/>
    </w:pPr>
  </w:style>
  <w:style w:type="paragraph" w:styleId="Header">
    <w:name w:val="header"/>
    <w:basedOn w:val="Normal"/>
    <w:link w:val="HeaderChar"/>
    <w:uiPriority w:val="99"/>
    <w:unhideWhenUsed/>
    <w:qFormat/>
    <w:rsid w:val="00BF6253"/>
    <w:pPr>
      <w:tabs>
        <w:tab w:val="center" w:pos="4513"/>
        <w:tab w:val="right" w:pos="9026"/>
      </w:tabs>
      <w:spacing w:after="0" w:line="240" w:lineRule="auto"/>
    </w:pPr>
  </w:style>
  <w:style w:type="table" w:styleId="TableGrid">
    <w:name w:val="Table Grid"/>
    <w:basedOn w:val="TableNormal"/>
    <w:uiPriority w:val="59"/>
    <w:rsid w:val="00BF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BF6253"/>
  </w:style>
  <w:style w:type="character" w:customStyle="1" w:styleId="FooterChar">
    <w:name w:val="Footer Char"/>
    <w:basedOn w:val="DefaultParagraphFont"/>
    <w:link w:val="Footer"/>
    <w:uiPriority w:val="99"/>
    <w:qFormat/>
    <w:rsid w:val="00BF6253"/>
  </w:style>
  <w:style w:type="character" w:customStyle="1" w:styleId="BalloonTextChar">
    <w:name w:val="Balloon Text Char"/>
    <w:basedOn w:val="DefaultParagraphFont"/>
    <w:link w:val="BalloonText"/>
    <w:uiPriority w:val="99"/>
    <w:semiHidden/>
    <w:qFormat/>
    <w:rsid w:val="00BF6253"/>
    <w:rPr>
      <w:rFonts w:ascii="Tahoma" w:hAnsi="Tahoma" w:cs="Tahoma"/>
      <w:sz w:val="16"/>
      <w:szCs w:val="16"/>
    </w:rPr>
  </w:style>
  <w:style w:type="character" w:customStyle="1" w:styleId="Heading2Char">
    <w:name w:val="Heading 2 Char"/>
    <w:basedOn w:val="DefaultParagraphFont"/>
    <w:link w:val="Heading2"/>
    <w:rsid w:val="00BF6253"/>
    <w:rPr>
      <w:rFonts w:ascii="Arial" w:eastAsia="Microsoft YaHei" w:hAnsi="Arial" w:cs="Mangal"/>
      <w:b/>
      <w:bCs/>
      <w:i/>
      <w:iCs/>
      <w:kern w:val="1"/>
      <w:sz w:val="28"/>
      <w:szCs w:val="28"/>
      <w:lang w:eastAsia="hi-IN" w:bidi="hi-IN"/>
    </w:rPr>
  </w:style>
  <w:style w:type="character" w:customStyle="1" w:styleId="BodyTextChar">
    <w:name w:val="Body Text Char"/>
    <w:basedOn w:val="DefaultParagraphFont"/>
    <w:link w:val="BodyText"/>
    <w:qFormat/>
    <w:rsid w:val="00BF6253"/>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BF62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4</cp:revision>
  <cp:lastPrinted>2020-02-24T21:08:00Z</cp:lastPrinted>
  <dcterms:created xsi:type="dcterms:W3CDTF">2020-01-27T22:25:00Z</dcterms:created>
  <dcterms:modified xsi:type="dcterms:W3CDTF">2021-09-09T10:09:00Z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